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9" w:rsidRDefault="000C7832">
      <w:pPr>
        <w:rPr>
          <w:rFonts w:ascii="Times New Roman" w:hAnsi="Times New Roman" w:cs="Times New Roman"/>
          <w:b/>
          <w:sz w:val="32"/>
          <w:szCs w:val="32"/>
        </w:rPr>
      </w:pPr>
      <w:r w:rsidRPr="000C7832">
        <w:rPr>
          <w:rFonts w:ascii="Times New Roman" w:hAnsi="Times New Roman" w:cs="Times New Roman"/>
          <w:b/>
          <w:sz w:val="32"/>
          <w:szCs w:val="32"/>
        </w:rPr>
        <w:t>Zwrot podatku akcyzowego dla rolników - zmiany od 01.01.2019r.</w:t>
      </w:r>
    </w:p>
    <w:p w:rsidR="000C7832" w:rsidRPr="000F1F9B" w:rsidRDefault="000C7832" w:rsidP="000C7832">
      <w:pPr>
        <w:jc w:val="both"/>
        <w:rPr>
          <w:rFonts w:ascii="Times New Roman" w:hAnsi="Times New Roman" w:cs="Times New Roman"/>
          <w:sz w:val="24"/>
          <w:szCs w:val="24"/>
        </w:rPr>
      </w:pPr>
      <w:r w:rsidRPr="000F1F9B">
        <w:rPr>
          <w:rFonts w:ascii="Times New Roman" w:hAnsi="Times New Roman" w:cs="Times New Roman"/>
          <w:sz w:val="24"/>
          <w:szCs w:val="24"/>
        </w:rPr>
        <w:t xml:space="preserve">Od 1 stycznia 2019r. wchodzi w życie zmiana wynikająca z ustawy z dnia </w:t>
      </w:r>
      <w:r w:rsidR="000F1F9B">
        <w:rPr>
          <w:rFonts w:ascii="Times New Roman" w:hAnsi="Times New Roman" w:cs="Times New Roman"/>
          <w:sz w:val="24"/>
          <w:szCs w:val="24"/>
        </w:rPr>
        <w:t xml:space="preserve"> </w:t>
      </w:r>
      <w:r w:rsidRPr="000F1F9B">
        <w:rPr>
          <w:rFonts w:ascii="Times New Roman" w:hAnsi="Times New Roman" w:cs="Times New Roman"/>
          <w:sz w:val="24"/>
          <w:szCs w:val="24"/>
        </w:rPr>
        <w:t xml:space="preserve"> 9 listopada 2018r. o zmianie ustawy o zwrocie podatku akcyzowego zawartego w cenie oleju napędowego wykorzystywanego do produkcji rolnej (Dz.U.2018, poz. 2247).</w:t>
      </w:r>
    </w:p>
    <w:p w:rsidR="000C7832" w:rsidRPr="000F1F9B" w:rsidRDefault="000C7832" w:rsidP="000C7832">
      <w:pPr>
        <w:jc w:val="both"/>
        <w:rPr>
          <w:rFonts w:ascii="Times New Roman" w:hAnsi="Times New Roman" w:cs="Times New Roman"/>
          <w:sz w:val="24"/>
          <w:szCs w:val="24"/>
        </w:rPr>
      </w:pPr>
      <w:r w:rsidRPr="000F1F9B">
        <w:rPr>
          <w:rFonts w:ascii="Times New Roman" w:hAnsi="Times New Roman" w:cs="Times New Roman"/>
          <w:sz w:val="24"/>
          <w:szCs w:val="24"/>
        </w:rPr>
        <w:t>Głównymi zmianami są:</w:t>
      </w:r>
    </w:p>
    <w:p w:rsidR="000C7832" w:rsidRPr="000F1F9B" w:rsidRDefault="008E331B" w:rsidP="000C783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C7832" w:rsidRPr="000F1F9B">
        <w:rPr>
          <w:rFonts w:ascii="Times New Roman" w:hAnsi="Times New Roman" w:cs="Times New Roman"/>
          <w:sz w:val="24"/>
          <w:szCs w:val="24"/>
        </w:rPr>
        <w:t>większenie limitu stawki zwrotu podatku akcyzowego z 86 litrów  na 100 litrów oleju napędowego na hektar użytków rolnych będących w posiadaniu lub współposiadaniu przez wnioskodawcę zwrotu akcyzy na dzień 1 lutego danego roku,</w:t>
      </w:r>
    </w:p>
    <w:p w:rsidR="00B74478" w:rsidRPr="000F1F9B" w:rsidRDefault="008E331B" w:rsidP="00B7447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C7832" w:rsidRPr="000F1F9B">
        <w:rPr>
          <w:rFonts w:ascii="Times New Roman" w:hAnsi="Times New Roman" w:cs="Times New Roman"/>
          <w:sz w:val="24"/>
          <w:szCs w:val="24"/>
        </w:rPr>
        <w:t xml:space="preserve">odano możliwość zwrotu </w:t>
      </w:r>
      <w:r w:rsidR="00B74478" w:rsidRPr="000F1F9B">
        <w:rPr>
          <w:rFonts w:ascii="Times New Roman" w:hAnsi="Times New Roman" w:cs="Times New Roman"/>
          <w:sz w:val="24"/>
          <w:szCs w:val="24"/>
        </w:rPr>
        <w:t xml:space="preserve">podatku dla posiadaczy bydła. Limit stawki w tym przypadku wynosi 30 litrów oleju napędowego na dużą jednostkę przeliczeniową posiadanego bydła (DJP). </w:t>
      </w:r>
    </w:p>
    <w:p w:rsidR="00B74478" w:rsidRPr="000F1F9B" w:rsidRDefault="00B74478" w:rsidP="00B74478">
      <w:pPr>
        <w:jc w:val="both"/>
        <w:rPr>
          <w:rFonts w:ascii="Times New Roman" w:hAnsi="Times New Roman" w:cs="Times New Roman"/>
          <w:sz w:val="24"/>
          <w:szCs w:val="24"/>
        </w:rPr>
      </w:pPr>
      <w:r w:rsidRPr="000F1F9B">
        <w:rPr>
          <w:rFonts w:ascii="Times New Roman" w:hAnsi="Times New Roman" w:cs="Times New Roman"/>
          <w:sz w:val="24"/>
          <w:szCs w:val="24"/>
        </w:rPr>
        <w:t xml:space="preserve">Aby uzyskać zwrot podatku akcyzowego od posiadanych DJP bydła do wniosku o zwrot podatku akcyzowego należy dołączyć oświadczenie o średniej rocznej liczbie DJP bydła </w:t>
      </w:r>
      <w:r w:rsidR="00A0323A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0F1F9B">
        <w:rPr>
          <w:rFonts w:ascii="Times New Roman" w:hAnsi="Times New Roman" w:cs="Times New Roman"/>
          <w:sz w:val="24"/>
          <w:szCs w:val="24"/>
        </w:rPr>
        <w:t>w roku poprzedzającym rok złożenia wniosku o zwrot podatku akcyzowego. Dokument</w:t>
      </w:r>
      <w:r w:rsidR="00F72DF3" w:rsidRPr="000F1F9B">
        <w:rPr>
          <w:rFonts w:ascii="Times New Roman" w:hAnsi="Times New Roman" w:cs="Times New Roman"/>
          <w:sz w:val="24"/>
          <w:szCs w:val="24"/>
        </w:rPr>
        <w:t>y zawierające</w:t>
      </w:r>
      <w:r w:rsidRPr="000F1F9B">
        <w:rPr>
          <w:rFonts w:ascii="Times New Roman" w:hAnsi="Times New Roman" w:cs="Times New Roman"/>
          <w:sz w:val="24"/>
          <w:szCs w:val="24"/>
        </w:rPr>
        <w:t xml:space="preserve"> informacje </w:t>
      </w:r>
      <w:r w:rsidR="00F72DF3" w:rsidRPr="000F1F9B">
        <w:rPr>
          <w:rFonts w:ascii="Times New Roman" w:hAnsi="Times New Roman" w:cs="Times New Roman"/>
          <w:sz w:val="24"/>
          <w:szCs w:val="24"/>
        </w:rPr>
        <w:t xml:space="preserve">z rejestru zwierząt gospodarskich oznakowanych o liczbie DJP bydła będącego w posiadaniu producenta rolnego będą wydawane przez biura powiatowe Agencji Restrukturyzacji i Modernizacji Rolnictwa. Zgodnie z informacją na stronie internetowej ARiMR wzór wniosku w tej sprawie będzie dostępny od 2 stycznia 2019r. w biurach powiatowych ARiMR oraz na stronie internetowej Agencji pod adresem: </w:t>
      </w:r>
      <w:hyperlink r:id="rId6" w:history="1">
        <w:r w:rsidR="00F72DF3" w:rsidRPr="000F1F9B">
          <w:rPr>
            <w:rStyle w:val="Hipercze"/>
            <w:rFonts w:ascii="Times New Roman" w:hAnsi="Times New Roman" w:cs="Times New Roman"/>
            <w:sz w:val="24"/>
            <w:szCs w:val="24"/>
          </w:rPr>
          <w:t>www.arimr.gov.pl/identyfikacja-i-rejestracja-zwierząt.html</w:t>
        </w:r>
      </w:hyperlink>
    </w:p>
    <w:p w:rsidR="003757FE" w:rsidRPr="000F1F9B" w:rsidRDefault="003757FE" w:rsidP="00B74478">
      <w:pPr>
        <w:jc w:val="both"/>
        <w:rPr>
          <w:rFonts w:ascii="Times New Roman" w:hAnsi="Times New Roman" w:cs="Times New Roman"/>
          <w:sz w:val="24"/>
          <w:szCs w:val="24"/>
        </w:rPr>
      </w:pPr>
      <w:r w:rsidRPr="000F1F9B">
        <w:rPr>
          <w:rFonts w:ascii="Times New Roman" w:hAnsi="Times New Roman" w:cs="Times New Roman"/>
          <w:sz w:val="24"/>
          <w:szCs w:val="24"/>
        </w:rPr>
        <w:t xml:space="preserve">Ustawa określiła współczynniki przeliczeniowe sztuk bydła na duże jednostki przeliczeniowe. Wyglądają one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757FE" w:rsidRPr="000F1F9B" w:rsidTr="003757FE">
        <w:tc>
          <w:tcPr>
            <w:tcW w:w="4606" w:type="dxa"/>
          </w:tcPr>
          <w:p w:rsidR="003757FE" w:rsidRPr="000F1F9B" w:rsidRDefault="003757FE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Grupa technologiczna zwierząt gospodarskich</w:t>
            </w:r>
          </w:p>
        </w:tc>
        <w:tc>
          <w:tcPr>
            <w:tcW w:w="4606" w:type="dxa"/>
          </w:tcPr>
          <w:p w:rsidR="003757FE" w:rsidRPr="000F1F9B" w:rsidRDefault="003757FE" w:rsidP="003757FE">
            <w:pPr>
              <w:autoSpaceDE w:val="0"/>
              <w:autoSpaceDN w:val="0"/>
              <w:adjustRightInd w:val="0"/>
              <w:rPr>
                <w:rFonts w:ascii="Times" w:hAnsi="Times" w:cs="Times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Współczynnik przeliczenia sztuk bydła</w:t>
            </w:r>
          </w:p>
          <w:p w:rsidR="003757FE" w:rsidRPr="000F1F9B" w:rsidRDefault="003757FE" w:rsidP="0037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na duże jednostki przeliczeniowe</w:t>
            </w:r>
          </w:p>
        </w:tc>
      </w:tr>
      <w:tr w:rsidR="003757FE" w:rsidRPr="000F1F9B" w:rsidTr="003757FE">
        <w:tc>
          <w:tcPr>
            <w:tcW w:w="4606" w:type="dxa"/>
          </w:tcPr>
          <w:p w:rsidR="003757FE" w:rsidRPr="000F1F9B" w:rsidRDefault="003757FE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Buhaje powyżej 6 miesiąca do 1 roku</w:t>
            </w:r>
          </w:p>
        </w:tc>
        <w:tc>
          <w:tcPr>
            <w:tcW w:w="4606" w:type="dxa"/>
          </w:tcPr>
          <w:p w:rsidR="003757FE" w:rsidRPr="000F1F9B" w:rsidRDefault="00277988" w:rsidP="002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0,36</w:t>
            </w:r>
          </w:p>
        </w:tc>
      </w:tr>
      <w:tr w:rsidR="003757FE" w:rsidRPr="000F1F9B" w:rsidTr="003757FE">
        <w:tc>
          <w:tcPr>
            <w:tcW w:w="4606" w:type="dxa"/>
          </w:tcPr>
          <w:p w:rsidR="003757FE" w:rsidRPr="000F1F9B" w:rsidRDefault="003757FE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Buhaje powyżej 1 roku do 18 miesiąca</w:t>
            </w:r>
          </w:p>
        </w:tc>
        <w:tc>
          <w:tcPr>
            <w:tcW w:w="4606" w:type="dxa"/>
          </w:tcPr>
          <w:p w:rsidR="003757FE" w:rsidRPr="000F1F9B" w:rsidRDefault="00277988" w:rsidP="002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0,9</w:t>
            </w:r>
          </w:p>
        </w:tc>
      </w:tr>
      <w:tr w:rsidR="003757FE" w:rsidRPr="000F1F9B" w:rsidTr="003757FE">
        <w:tc>
          <w:tcPr>
            <w:tcW w:w="4606" w:type="dxa"/>
          </w:tcPr>
          <w:p w:rsidR="003757FE" w:rsidRPr="000F1F9B" w:rsidRDefault="00277988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Buhaje powyżej 18 miesiąca</w:t>
            </w:r>
          </w:p>
        </w:tc>
        <w:tc>
          <w:tcPr>
            <w:tcW w:w="4606" w:type="dxa"/>
          </w:tcPr>
          <w:p w:rsidR="003757FE" w:rsidRPr="000F1F9B" w:rsidRDefault="00277988" w:rsidP="002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1,4</w:t>
            </w:r>
          </w:p>
        </w:tc>
      </w:tr>
      <w:tr w:rsidR="003757FE" w:rsidRPr="000F1F9B" w:rsidTr="003757FE">
        <w:tc>
          <w:tcPr>
            <w:tcW w:w="4606" w:type="dxa"/>
          </w:tcPr>
          <w:p w:rsidR="003757FE" w:rsidRPr="000F1F9B" w:rsidRDefault="00277988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Cielęta do 6 miesiąca</w:t>
            </w:r>
          </w:p>
        </w:tc>
        <w:tc>
          <w:tcPr>
            <w:tcW w:w="4606" w:type="dxa"/>
          </w:tcPr>
          <w:p w:rsidR="003757FE" w:rsidRPr="000F1F9B" w:rsidRDefault="00277988" w:rsidP="002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0,15</w:t>
            </w:r>
          </w:p>
        </w:tc>
      </w:tr>
      <w:tr w:rsidR="003757FE" w:rsidRPr="000F1F9B" w:rsidTr="003757FE">
        <w:tc>
          <w:tcPr>
            <w:tcW w:w="4606" w:type="dxa"/>
          </w:tcPr>
          <w:p w:rsidR="003757FE" w:rsidRPr="000F1F9B" w:rsidRDefault="00277988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Jałówki powyżej 6 miesiąca do 1 roku</w:t>
            </w:r>
          </w:p>
        </w:tc>
        <w:tc>
          <w:tcPr>
            <w:tcW w:w="4606" w:type="dxa"/>
          </w:tcPr>
          <w:p w:rsidR="003757FE" w:rsidRPr="000F1F9B" w:rsidRDefault="00277988" w:rsidP="002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3757FE" w:rsidRPr="000F1F9B" w:rsidTr="003757FE">
        <w:tc>
          <w:tcPr>
            <w:tcW w:w="4606" w:type="dxa"/>
          </w:tcPr>
          <w:p w:rsidR="003757FE" w:rsidRPr="000F1F9B" w:rsidRDefault="00277988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Jałówki powyżej 1 roku do 18 miesiąca</w:t>
            </w:r>
          </w:p>
        </w:tc>
        <w:tc>
          <w:tcPr>
            <w:tcW w:w="4606" w:type="dxa"/>
          </w:tcPr>
          <w:p w:rsidR="003757FE" w:rsidRPr="000F1F9B" w:rsidRDefault="00277988" w:rsidP="002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757FE" w:rsidRPr="000F1F9B" w:rsidTr="003757FE">
        <w:tc>
          <w:tcPr>
            <w:tcW w:w="4606" w:type="dxa"/>
          </w:tcPr>
          <w:p w:rsidR="003757FE" w:rsidRPr="000F1F9B" w:rsidRDefault="00277988" w:rsidP="00B7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" w:hAnsi="Times" w:cs="Times"/>
                <w:sz w:val="24"/>
                <w:szCs w:val="24"/>
              </w:rPr>
              <w:t>Krowy</w:t>
            </w:r>
          </w:p>
        </w:tc>
        <w:tc>
          <w:tcPr>
            <w:tcW w:w="4606" w:type="dxa"/>
          </w:tcPr>
          <w:p w:rsidR="003757FE" w:rsidRPr="000F1F9B" w:rsidRDefault="00277988" w:rsidP="00277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57FE" w:rsidRPr="000F1F9B" w:rsidRDefault="003757FE" w:rsidP="00B74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F3" w:rsidRPr="000F1F9B" w:rsidRDefault="00A35DB4" w:rsidP="00B74478">
      <w:pPr>
        <w:jc w:val="both"/>
        <w:rPr>
          <w:rFonts w:ascii="Times New Roman" w:hAnsi="Times New Roman" w:cs="Times New Roman"/>
          <w:sz w:val="24"/>
          <w:szCs w:val="24"/>
        </w:rPr>
      </w:pPr>
      <w:r w:rsidRPr="000F1F9B">
        <w:rPr>
          <w:rFonts w:ascii="Times New Roman" w:hAnsi="Times New Roman" w:cs="Times New Roman"/>
          <w:sz w:val="24"/>
          <w:szCs w:val="24"/>
        </w:rPr>
        <w:t>Będzie również obowiązywał nowy wzór wniosku o zwrot podatku akcyzowego, jednak zgodnie z ustawą na zostać ogłoszony do 31 grudnia 2018r.</w:t>
      </w:r>
    </w:p>
    <w:p w:rsidR="00A35DB4" w:rsidRPr="000F1F9B" w:rsidRDefault="00A35DB4" w:rsidP="00B74478">
      <w:pPr>
        <w:jc w:val="both"/>
        <w:rPr>
          <w:rFonts w:ascii="Times New Roman" w:hAnsi="Times New Roman" w:cs="Times New Roman"/>
          <w:sz w:val="24"/>
          <w:szCs w:val="24"/>
        </w:rPr>
      </w:pPr>
      <w:r w:rsidRPr="000F1F9B">
        <w:rPr>
          <w:rFonts w:ascii="Times New Roman" w:hAnsi="Times New Roman" w:cs="Times New Roman"/>
          <w:sz w:val="24"/>
          <w:szCs w:val="24"/>
        </w:rPr>
        <w:t>Nie zmienią się natom</w:t>
      </w:r>
      <w:r w:rsidR="00624686">
        <w:rPr>
          <w:rFonts w:ascii="Times New Roman" w:hAnsi="Times New Roman" w:cs="Times New Roman"/>
          <w:sz w:val="24"/>
          <w:szCs w:val="24"/>
        </w:rPr>
        <w:t>iast terminy składania wniosków tj. luty i sierpień.</w:t>
      </w:r>
    </w:p>
    <w:sectPr w:rsidR="00A35DB4" w:rsidRPr="000F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56A1F"/>
    <w:multiLevelType w:val="hybridMultilevel"/>
    <w:tmpl w:val="F49CCF0E"/>
    <w:lvl w:ilvl="0" w:tplc="E1C4C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32"/>
    <w:rsid w:val="000C7832"/>
    <w:rsid w:val="000F1F9B"/>
    <w:rsid w:val="00240B34"/>
    <w:rsid w:val="00277988"/>
    <w:rsid w:val="003757FE"/>
    <w:rsid w:val="00467310"/>
    <w:rsid w:val="004C0929"/>
    <w:rsid w:val="00624686"/>
    <w:rsid w:val="008E331B"/>
    <w:rsid w:val="00A0323A"/>
    <w:rsid w:val="00A35DB4"/>
    <w:rsid w:val="00B74478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8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D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8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2DF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24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/identyfikacja-i-rejestracja-zwierz&#261;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Kkomperda</dc:creator>
  <cp:lastModifiedBy>Kkomperda</cp:lastModifiedBy>
  <cp:revision>4</cp:revision>
  <cp:lastPrinted>2018-12-19T09:27:00Z</cp:lastPrinted>
  <dcterms:created xsi:type="dcterms:W3CDTF">2018-12-19T08:13:00Z</dcterms:created>
  <dcterms:modified xsi:type="dcterms:W3CDTF">2018-12-19T09:28:00Z</dcterms:modified>
</cp:coreProperties>
</file>