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  <w:bookmarkStart w:id="0" w:name="_GoBack"/>
      <w:bookmarkEnd w:id="0"/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EB159F2" wp14:editId="24D4863D">
            <wp:simplePos x="0" y="0"/>
            <wp:positionH relativeFrom="margin">
              <wp:posOffset>0</wp:posOffset>
            </wp:positionH>
            <wp:positionV relativeFrom="topMargin">
              <wp:posOffset>1176655</wp:posOffset>
            </wp:positionV>
            <wp:extent cx="5958205" cy="452120"/>
            <wp:effectExtent l="0" t="0" r="4445" b="508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Załącznik</w:t>
      </w:r>
      <w:r w:rsidR="008F3B26">
        <w:rPr>
          <w:rFonts w:ascii="Tahoma" w:hAnsi="Tahoma" w:cs="Tahoma"/>
          <w:i/>
          <w:sz w:val="18"/>
          <w:szCs w:val="18"/>
        </w:rPr>
        <w:t xml:space="preserve">  do Uchwały Nr XXXI/269/2017</w:t>
      </w: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248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</w:t>
      </w:r>
      <w:r w:rsidRPr="00345664">
        <w:rPr>
          <w:rFonts w:ascii="Tahoma" w:hAnsi="Tahoma" w:cs="Tahoma"/>
          <w:i/>
          <w:sz w:val="18"/>
          <w:szCs w:val="18"/>
        </w:rPr>
        <w:t xml:space="preserve"> Rady Gminy Kamionka Wielka </w:t>
      </w: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248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</w:t>
      </w:r>
      <w:r w:rsidR="008F3B26">
        <w:rPr>
          <w:rFonts w:ascii="Tahoma" w:hAnsi="Tahoma" w:cs="Tahoma"/>
          <w:i/>
          <w:sz w:val="18"/>
          <w:szCs w:val="18"/>
        </w:rPr>
        <w:t xml:space="preserve"> z dnia </w:t>
      </w:r>
      <w:r w:rsidR="00A425AC">
        <w:rPr>
          <w:rFonts w:ascii="Tahoma" w:hAnsi="Tahoma" w:cs="Tahoma"/>
          <w:i/>
          <w:sz w:val="18"/>
          <w:szCs w:val="18"/>
        </w:rPr>
        <w:t xml:space="preserve">17 października </w:t>
      </w:r>
      <w:r w:rsidRPr="00345664">
        <w:rPr>
          <w:rFonts w:ascii="Tahoma" w:hAnsi="Tahoma" w:cs="Tahoma"/>
          <w:i/>
          <w:sz w:val="18"/>
          <w:szCs w:val="18"/>
        </w:rPr>
        <w:t xml:space="preserve">2017 roku  </w:t>
      </w:r>
    </w:p>
    <w:p w:rsidR="00860E02" w:rsidRDefault="00860E02" w:rsidP="00860E02">
      <w:pPr>
        <w:pStyle w:val="text-justify"/>
        <w:rPr>
          <w:rFonts w:ascii="Tahoma" w:hAnsi="Tahoma" w:cs="Tahoma"/>
          <w:b/>
        </w:rPr>
      </w:pPr>
    </w:p>
    <w:p w:rsidR="00860E02" w:rsidRDefault="00860E02" w:rsidP="00860E02">
      <w:pPr>
        <w:pStyle w:val="text-justify"/>
        <w:rPr>
          <w:rFonts w:ascii="Tahoma" w:hAnsi="Tahoma" w:cs="Tahoma"/>
          <w:b/>
        </w:rPr>
      </w:pPr>
    </w:p>
    <w:p w:rsidR="00860E02" w:rsidRPr="004C271F" w:rsidRDefault="00860E02" w:rsidP="00860E0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</w:rPr>
      </w:pPr>
      <w:r w:rsidRPr="004C271F">
        <w:rPr>
          <w:rFonts w:ascii="Tahoma" w:hAnsi="Tahoma" w:cs="Tahoma"/>
          <w:b/>
          <w:sz w:val="28"/>
        </w:rPr>
        <w:t>REGULAMIN</w:t>
      </w:r>
    </w:p>
    <w:p w:rsidR="00860E02" w:rsidRDefault="00860E02" w:rsidP="00860E02"/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szCs w:val="22"/>
          <w:lang w:eastAsia="ar-SA"/>
        </w:rPr>
      </w:pPr>
      <w:bookmarkStart w:id="1" w:name="_Hlk495052267"/>
      <w:r w:rsidRPr="004C271F">
        <w:rPr>
          <w:rFonts w:eastAsia="SimSun"/>
          <w:b/>
          <w:szCs w:val="22"/>
          <w:lang w:eastAsia="ar-SA"/>
        </w:rPr>
        <w:t xml:space="preserve"> udzielenia dotacji celowej</w:t>
      </w:r>
      <w:r>
        <w:rPr>
          <w:rFonts w:eastAsia="SimSun"/>
          <w:b/>
          <w:szCs w:val="22"/>
          <w:lang w:eastAsia="ar-SA"/>
        </w:rPr>
        <w:t xml:space="preserve"> osobom fizycznym</w:t>
      </w:r>
      <w:r w:rsidRPr="004C271F">
        <w:rPr>
          <w:color w:val="000000"/>
          <w:szCs w:val="23"/>
        </w:rPr>
        <w:t xml:space="preserve"> </w:t>
      </w:r>
      <w:r w:rsidRPr="004C271F">
        <w:rPr>
          <w:rFonts w:eastAsia="SimSun"/>
          <w:b/>
          <w:szCs w:val="22"/>
          <w:lang w:eastAsia="ar-SA"/>
        </w:rPr>
        <w:t xml:space="preserve">w ramach projektu Regionalna polityka energetyczna, </w:t>
      </w:r>
      <w:bookmarkStart w:id="2" w:name="_Hlk495317675"/>
      <w:r w:rsidRPr="004C271F">
        <w:rPr>
          <w:rFonts w:eastAsia="SimSun"/>
          <w:b/>
          <w:szCs w:val="22"/>
          <w:lang w:eastAsia="ar-SA"/>
        </w:rPr>
        <w:t xml:space="preserve">Działanie 4.4. Redukcja emisji zanieczyszczeń do powietrza, Poddziałanie 4.4.2 Obniżenie poziomu niskiej emisji - SPR </w:t>
      </w:r>
      <w:bookmarkEnd w:id="2"/>
      <w:r w:rsidRPr="004C271F">
        <w:rPr>
          <w:rFonts w:eastAsia="SimSun"/>
          <w:b/>
          <w:szCs w:val="22"/>
          <w:lang w:eastAsia="ar-SA"/>
        </w:rPr>
        <w:br/>
        <w:t xml:space="preserve">pt.: </w:t>
      </w:r>
      <w:bookmarkStart w:id="3" w:name="_Hlk495571096"/>
      <w:r w:rsidRPr="004C271F">
        <w:rPr>
          <w:rFonts w:eastAsia="SimSun"/>
          <w:b/>
          <w:szCs w:val="22"/>
          <w:lang w:eastAsia="ar-SA"/>
        </w:rPr>
        <w:t>„</w:t>
      </w:r>
      <w:bookmarkStart w:id="4" w:name="_Hlk495492540"/>
      <w:r w:rsidRPr="004C271F">
        <w:rPr>
          <w:rFonts w:eastAsia="SimSun"/>
          <w:b/>
          <w:bCs/>
          <w:i/>
          <w:iCs/>
          <w:szCs w:val="22"/>
          <w:lang w:eastAsia="ar-SA"/>
        </w:rPr>
        <w:t xml:space="preserve">Obniżenie poziomu zanieczyszczeń powietrza w Gminie Kamionka Wielka” </w:t>
      </w:r>
      <w:bookmarkEnd w:id="3"/>
      <w:bookmarkEnd w:id="4"/>
      <w:r w:rsidRPr="004C271F">
        <w:rPr>
          <w:rFonts w:eastAsia="SimSun"/>
          <w:b/>
          <w:bCs/>
          <w:i/>
          <w:iCs/>
          <w:szCs w:val="22"/>
          <w:lang w:eastAsia="ar-SA"/>
        </w:rPr>
        <w:br/>
      </w:r>
      <w:r w:rsidRPr="004C271F">
        <w:rPr>
          <w:rFonts w:eastAsia="SimSun"/>
          <w:b/>
          <w:szCs w:val="22"/>
          <w:lang w:eastAsia="ar-SA"/>
        </w:rPr>
        <w:t>w ramach Regionalnego Programu Operacyjnego Województwa Małopolskiego na lata 2014 - 2020</w:t>
      </w:r>
    </w:p>
    <w:bookmarkEnd w:id="1"/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lang w:eastAsia="ar-SA"/>
        </w:rPr>
      </w:pPr>
    </w:p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lang w:eastAsia="ar-SA"/>
        </w:rPr>
      </w:pPr>
      <w:r w:rsidRPr="004C271F">
        <w:rPr>
          <w:rFonts w:eastAsia="SimSun"/>
          <w:b/>
          <w:lang w:eastAsia="ar-SA"/>
        </w:rPr>
        <w:t>Postanowienia wstępne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  <w:r w:rsidRPr="004C271F">
        <w:rPr>
          <w:lang w:eastAsia="ar-SA"/>
        </w:rPr>
        <w:t>§ 1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Program</w:t>
      </w:r>
      <w:r w:rsidRPr="004C271F">
        <w:rPr>
          <w:lang w:eastAsia="ar-SA"/>
        </w:rPr>
        <w:t xml:space="preserve"> – rozumie się przez to Regionalny Program Operacyjny Województwa Małopolskiego na lata 2014 – 2020, 4 Oś priorytetowa Regionalna polityka energetyczna, Działanie 4.4 Redukcja emisji zanieczyszczeń do powietrza, Poddziałanie 4.4.2 Obniżenie Poziomu Niskiej Emisji – SPR,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Wnioskodawca</w:t>
      </w:r>
      <w:r w:rsidRPr="004C271F">
        <w:rPr>
          <w:lang w:eastAsia="ar-SA"/>
        </w:rPr>
        <w:t xml:space="preserve"> - </w:t>
      </w:r>
      <w:r w:rsidRPr="004C271F">
        <w:rPr>
          <w:rFonts w:eastAsia="SimSun"/>
          <w:lang w:eastAsia="ar-SA"/>
        </w:rPr>
        <w:t>osoba fizyczna posiadająca tytuł prawny do budynku mieszkalnego lub wyodrębnionego lokalu mieszkalnego zlokalizowanego na terenie gminy Kamionka Wielka, ubiegająca się o dofinansowanie inwestycji objętej niniejszym Regulaminem.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D6451D">
        <w:rPr>
          <w:b/>
          <w:lang w:eastAsia="ar-SA"/>
        </w:rPr>
        <w:t>Dotacja</w:t>
      </w:r>
      <w:r>
        <w:rPr>
          <w:lang w:eastAsia="ar-SA"/>
        </w:rPr>
        <w:t xml:space="preserve"> – bezzwrotne środki finansowe przyznane wnioskodawcy na podstawie zawartej umowy na wykonanie inwestycji, po spełnieniu przez niego warunków określonych w niniejszym regulaminie i umowie. </w:t>
      </w:r>
    </w:p>
    <w:p w:rsidR="00860E02" w:rsidRPr="00D6451D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b/>
          <w:lang w:eastAsia="ar-SA"/>
        </w:rPr>
        <w:t>Beneficjent</w:t>
      </w:r>
      <w:r w:rsidRPr="004C271F">
        <w:rPr>
          <w:rFonts w:eastAsia="SimSun"/>
          <w:lang w:eastAsia="ar-SA"/>
        </w:rPr>
        <w:t xml:space="preserve"> – osoba fizyczna, której została przyznana dotacja na warunkach określonych w niniejszym Regulaminie oraz w umowie o udzielenie dotacji.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>
        <w:rPr>
          <w:rFonts w:eastAsia="SimSun"/>
          <w:b/>
          <w:lang w:eastAsia="ar-SA"/>
        </w:rPr>
        <w:t xml:space="preserve">Instytucja Zarządzająca IZ </w:t>
      </w:r>
      <w:r>
        <w:rPr>
          <w:lang w:eastAsia="ar-SA"/>
        </w:rPr>
        <w:t xml:space="preserve">– instytucja udzielającą dofinansowania tj. Zarząd Województwa Małopolskiego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>
        <w:rPr>
          <w:rFonts w:eastAsia="SimSun"/>
          <w:b/>
          <w:lang w:eastAsia="ar-SA"/>
        </w:rPr>
        <w:t xml:space="preserve">Nieruchomość </w:t>
      </w:r>
      <w:r>
        <w:rPr>
          <w:lang w:eastAsia="ar-SA"/>
        </w:rPr>
        <w:t>– nieruchomość budynkowa i lokalowa służąca zaspokajaniu potrzeb mieszkaniowych , zarówno jedno rodzinna jak i wielorodzinna, zlokalizowana na obszarze gminy Kamionka Wielka, w której wnioskodawca chce dokonać realizacji inwestycji.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Stare źródło ciepła</w:t>
      </w:r>
      <w:r w:rsidRPr="004C271F">
        <w:rPr>
          <w:lang w:eastAsia="ar-SA"/>
        </w:rPr>
        <w:t xml:space="preserve"> – niskowydajne i </w:t>
      </w:r>
      <w:proofErr w:type="spellStart"/>
      <w:r w:rsidRPr="004C271F">
        <w:rPr>
          <w:lang w:eastAsia="ar-SA"/>
        </w:rPr>
        <w:t>nieekologiczne</w:t>
      </w:r>
      <w:proofErr w:type="spellEnd"/>
      <w:r w:rsidRPr="004C271F">
        <w:rPr>
          <w:lang w:eastAsia="ar-SA"/>
        </w:rPr>
        <w:t xml:space="preserve"> źródło ciepła (kocioł węglowy, piec kaflowy itp.) na paliwo stałe.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D43B38" w:rsidRDefault="00D43B38" w:rsidP="00D43B38">
      <w:pPr>
        <w:suppressAutoHyphens/>
        <w:spacing w:after="160" w:line="100" w:lineRule="atLeast"/>
        <w:jc w:val="both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4DCBB42" wp14:editId="6308B069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38" w:rsidRPr="004C271F" w:rsidRDefault="00D43B38" w:rsidP="00D43B38">
      <w:pPr>
        <w:suppressAutoHyphens/>
        <w:spacing w:after="160"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Inwestycja</w:t>
      </w:r>
      <w:r w:rsidRPr="004C271F">
        <w:rPr>
          <w:lang w:eastAsia="ar-SA"/>
        </w:rPr>
        <w:t xml:space="preserve"> – rozumie się przez to inwestycję w lokalu mieszkalnym lub budynku mieszkalnym położonym na terenie gminy Kamionka Wielka, polegającą na: zainstalowaniu nowego kotła gazowego lub na biomasę po uprzedniej likwidacji wszystkich pieców kaflowych i kotłów centralnego ogrzewania, opalanych paliwem stałym (węgiel, koks lub drewno), stanowiących dotychczas główne źródło ciepła tego lokalu lub budynku.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Koszty kwalifikowane</w:t>
      </w:r>
      <w:r w:rsidRPr="004C271F">
        <w:rPr>
          <w:lang w:eastAsia="ar-SA"/>
        </w:rPr>
        <w:t xml:space="preserve"> – </w:t>
      </w:r>
      <w:r>
        <w:rPr>
          <w:lang w:eastAsia="ar-SA"/>
        </w:rPr>
        <w:t>koszty, które kwalifikują się do refundacji w ramach udzielonej dotacji i zostały poniesione przez inwestora w okresie ich kwalifikowalności.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Minimalny standard efektywności energetycznej</w:t>
      </w:r>
      <w:r w:rsidRPr="004C271F">
        <w:rPr>
          <w:lang w:eastAsia="ar-SA"/>
        </w:rPr>
        <w:t xml:space="preserve"> – należy przez to rozumieć sytuację, gdy budynek posiada maksymalną wartość wskaźnika EPH+W nie większą niż 150 kWh/(m</w:t>
      </w:r>
      <w:r w:rsidRPr="004C271F">
        <w:rPr>
          <w:vertAlign w:val="superscript"/>
          <w:lang w:eastAsia="ar-SA"/>
        </w:rPr>
        <w:t>2</w:t>
      </w:r>
      <w:r w:rsidRPr="004C271F">
        <w:rPr>
          <w:lang w:eastAsia="ar-SA"/>
        </w:rPr>
        <w:t xml:space="preserve"> x rok) dla budynków jednorodzinnych lub 135 kWh/(m</w:t>
      </w:r>
      <w:r w:rsidRPr="004C271F">
        <w:rPr>
          <w:vertAlign w:val="superscript"/>
          <w:lang w:eastAsia="ar-SA"/>
        </w:rPr>
        <w:t>2</w:t>
      </w:r>
      <w:r w:rsidRPr="004C271F">
        <w:rPr>
          <w:lang w:eastAsia="ar-SA"/>
        </w:rPr>
        <w:t xml:space="preserve"> x rok) dla budynków wielorodzinnych (EPH+W- nieodnawialna energia pierwotna na potrzeby ogrzewania, wentylacji oraz przygotowania ciepłej wody użytkowej). W przypadku zabytkowych budynków mieszkalnych możliwe jest odstąpienie od oceny w oparciu o wskaźnik EPH+W i określenie minimalnego zakresu prac termomodernizacyjnych koniecznych do wykonania w zakresie: wymiany stolarki okiennej na energooszczędną, termomodernizacji dachów/stropodachów, modernizacji instalacji wentylacji, zastosowania odzysku ciepła – jeżeli te elementy prac są możliwe do wykonania ze względu na zalecenia konserwatorskie. Budynki, dla których ww. warunek nie będzie spełniony zobowiązane są do przeprowadzenia prac termomodernizacyjnych </w:t>
      </w:r>
      <w:r w:rsidRPr="004C271F">
        <w:rPr>
          <w:bCs/>
          <w:iCs/>
          <w:lang w:eastAsia="ar-SA"/>
        </w:rPr>
        <w:t>przed uzyskaniem dotacji</w:t>
      </w:r>
      <w:r w:rsidRPr="004C271F">
        <w:rPr>
          <w:lang w:eastAsia="ar-SA"/>
        </w:rPr>
        <w:t xml:space="preserve">;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Ocena energetyczna</w:t>
      </w:r>
      <w:r w:rsidRPr="004C271F">
        <w:rPr>
          <w:lang w:eastAsia="ar-SA"/>
        </w:rPr>
        <w:t xml:space="preserve"> – działanie wykonane przez audytora energetycznego zgodnie z dokumentem „Założenia do zakresu przeprowadzania oceny energetycznej budynków w ramach działania 4.4 Redukcja emisji zanieczyszczeń do powietrza” Regionalnego Programu Operacyjnego Województwa Małopolskiego na lata 2014 – 2020.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Paliwo stałe</w:t>
      </w:r>
      <w:r w:rsidRPr="004C271F">
        <w:rPr>
          <w:lang w:eastAsia="ar-SA"/>
        </w:rPr>
        <w:t xml:space="preserve"> - paliwo, które jest w stanie stałym w normalnej temperaturze pokojowej, w tym paliwa kopalne stałe np. antracyt i węgiel chudy, węgiel kamienny, węgiel brunatny, mieszankę paliw kopalnych lub mieszankę biomasy i paliwa kopalnego, torf oraz biomasę stałą;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b/>
          <w:lang w:eastAsia="ar-SA"/>
        </w:rPr>
        <w:t>Nowe źródło ciepła</w:t>
      </w:r>
      <w:r w:rsidRPr="004C271F">
        <w:rPr>
          <w:lang w:eastAsia="ar-SA"/>
        </w:rPr>
        <w:t xml:space="preserve"> – </w:t>
      </w:r>
      <w:r w:rsidRPr="004C271F">
        <w:rPr>
          <w:rFonts w:eastAsia="SimSun"/>
          <w:lang w:eastAsia="ar-SA"/>
        </w:rPr>
        <w:t xml:space="preserve">niskoemisyjne, wysokosprawne źródło ciepła (np. kocioł gazowy, kocioł na </w:t>
      </w:r>
      <w:proofErr w:type="spellStart"/>
      <w:r w:rsidRPr="004C271F">
        <w:rPr>
          <w:rFonts w:eastAsia="SimSun"/>
          <w:lang w:eastAsia="ar-SA"/>
        </w:rPr>
        <w:t>pelety</w:t>
      </w:r>
      <w:proofErr w:type="spellEnd"/>
      <w:r w:rsidRPr="004C271F">
        <w:rPr>
          <w:rFonts w:eastAsia="SimSun"/>
          <w:lang w:eastAsia="ar-SA"/>
        </w:rPr>
        <w:t xml:space="preserve">) wykorzystujące paliwa gazowe, lub biomasę, charakteryzujące się obowiązującym od końca 2020 r. minimalnym poziomem efektywności energetycznej i normami emisji zanieczyszczeń, które zostały określone w środkach wykonawczych do dyrektywy 2009/125/WE z dnia 21 października 2009 r. ustanawiającej ogólne zasady ustalania wymogów dotyczących </w:t>
      </w:r>
      <w:proofErr w:type="spellStart"/>
      <w:r w:rsidRPr="004C271F">
        <w:rPr>
          <w:rFonts w:eastAsia="SimSun"/>
          <w:lang w:eastAsia="ar-SA"/>
        </w:rPr>
        <w:t>ekoprojektu</w:t>
      </w:r>
      <w:proofErr w:type="spellEnd"/>
      <w:r w:rsidRPr="004C271F">
        <w:rPr>
          <w:rFonts w:eastAsia="SimSun"/>
          <w:lang w:eastAsia="ar-SA"/>
        </w:rPr>
        <w:t xml:space="preserve"> dla produktów związanych z energią. Wymóg dotyczy wszystkich paliw dopuszczonych do stosowania w instrukcji użytkowania urządzenia. Kotły spalające biomasę będą wyposażone w automatyczny podajnik paliwa (nie dotyczy kotłów zgazowujących) i nie będą posiadały rusztu awaryjnego ani elementów umożliwiających jego zamontowanie. Na stronie </w:t>
      </w:r>
      <w:hyperlink r:id="rId6" w:history="1">
        <w:r w:rsidRPr="004C271F">
          <w:rPr>
            <w:rFonts w:eastAsia="SimSun"/>
            <w:color w:val="0563C1"/>
            <w:u w:val="single"/>
          </w:rPr>
          <w:t>www.powietrze.malopolska.pl/kotly</w:t>
        </w:r>
      </w:hyperlink>
      <w:r w:rsidRPr="004C271F">
        <w:rPr>
          <w:rFonts w:eastAsia="SimSun"/>
          <w:lang w:eastAsia="ar-SA"/>
        </w:rPr>
        <w:t xml:space="preserve"> opublikowana została lista niskoemisyjnych kotłów na biomasę spełniających powyższe wymagania.</w:t>
      </w:r>
    </w:p>
    <w:p w:rsidR="00D43B38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D43B38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4DCBB42" wp14:editId="6308B069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38" w:rsidRPr="004C271F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D43B38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b/>
          <w:lang w:eastAsia="ar-SA"/>
        </w:rPr>
        <w:t>Okres trwałości projektu</w:t>
      </w:r>
      <w:r w:rsidRPr="004C271F">
        <w:rPr>
          <w:rFonts w:eastAsia="SimSun"/>
          <w:lang w:eastAsia="ar-SA"/>
        </w:rPr>
        <w:t xml:space="preserve"> - okres pięciu lat liczony od daty zakończenia realizacji projektu, czyli od dnia przekazania Gminie</w:t>
      </w:r>
      <w:r>
        <w:rPr>
          <w:rFonts w:eastAsia="SimSun"/>
          <w:lang w:eastAsia="ar-SA"/>
        </w:rPr>
        <w:t xml:space="preserve"> przez instytucję zarządzającą</w:t>
      </w:r>
      <w:r w:rsidRPr="004C271F">
        <w:rPr>
          <w:rFonts w:eastAsia="SimSun"/>
          <w:lang w:eastAsia="ar-SA"/>
        </w:rPr>
        <w:t xml:space="preserve"> środków ostatniej płatności na rzecz projektu. </w:t>
      </w:r>
    </w:p>
    <w:p w:rsidR="00860E02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lang w:eastAsia="ar-SA"/>
        </w:rPr>
      </w:pPr>
      <w:r w:rsidRPr="004C271F">
        <w:rPr>
          <w:rFonts w:eastAsia="SimSun"/>
          <w:b/>
          <w:lang w:eastAsia="ar-SA"/>
        </w:rPr>
        <w:t>Kryteria wyboru inwestycji do wsparcia w formie dotacji celowej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bookmarkStart w:id="5" w:name="_Hlk493144212"/>
      <w:r w:rsidRPr="004C271F">
        <w:rPr>
          <w:b/>
          <w:lang w:eastAsia="ar-SA"/>
        </w:rPr>
        <w:t>§ 2</w:t>
      </w:r>
    </w:p>
    <w:bookmarkEnd w:id="5"/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Regulamin określa zasady przyznawania dofinansowania kosztów inwestycji w zakresie wymiany źródeł ciepła, polegających na zainstalowaniu w miejsce dotychczasowego starego źródła ciepła na paliwo stałe, nowego źródła ciepła zabudowanego w sposób trwały w ramach realizacji projektu</w:t>
      </w:r>
      <w:r w:rsidRPr="004C271F">
        <w:rPr>
          <w:rFonts w:eastAsia="SimSun"/>
          <w:lang w:eastAsia="ar-SA"/>
        </w:rPr>
        <w:t xml:space="preserve"> </w:t>
      </w:r>
      <w:r w:rsidRPr="004C271F">
        <w:rPr>
          <w:rFonts w:eastAsia="SimSun"/>
          <w:b/>
          <w:szCs w:val="22"/>
          <w:lang w:eastAsia="ar-SA"/>
        </w:rPr>
        <w:t>„</w:t>
      </w:r>
      <w:r w:rsidRPr="004C271F">
        <w:rPr>
          <w:rFonts w:eastAsia="SimSun"/>
          <w:b/>
          <w:bCs/>
          <w:i/>
          <w:iCs/>
          <w:szCs w:val="22"/>
          <w:lang w:eastAsia="ar-SA"/>
        </w:rPr>
        <w:t>Obniżenie poziomu zanieczyszczeń powietrza w Gminie Kamionka Wielka”</w:t>
      </w:r>
      <w:r w:rsidRPr="004C271F">
        <w:rPr>
          <w:rFonts w:eastAsia="SimSun"/>
          <w:lang w:eastAsia="ar-SA"/>
        </w:rPr>
        <w:t xml:space="preserve"> współfinansowanych ze środków Unii Europejskiej w ramach Regionalnego Programu Operacyjnego Województwa Małopolskiego na lata 2014 – 2020.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udziela dotacji na zmianę źródeł ciepła w budynkach i lokalach mieszkalnych usytuowanych na terenie gminy Kamionka Wielka, obejmującej:</w:t>
      </w:r>
    </w:p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bookmarkStart w:id="6" w:name="_Hlk493142230"/>
      <w:r w:rsidRPr="004C271F">
        <w:rPr>
          <w:rFonts w:eastAsia="SimSun"/>
          <w:lang w:eastAsia="ar-SA"/>
        </w:rPr>
        <w:t>likwidację pieców, kotłów i palenisk opalanych paliwem stałym z jednoczesnym zastąpieniem ich przez nowe źródło ciepła w postaci kotła gazowego</w:t>
      </w:r>
    </w:p>
    <w:bookmarkEnd w:id="6"/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252" w:lineRule="auto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likwidację pieców, kotłów i palenisk opalanych paliwem stałym z jednoczesnym zastąpieniem ich przez nowe źródło ciepła w postaci kotła na biomasę</w:t>
      </w:r>
    </w:p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252" w:lineRule="auto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wykonanie instalacji wewnętrznej w budynku niezbędnej do prawidłowego funkcjonowania nowego systemu ogrzewania.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sz w:val="28"/>
          <w:lang w:eastAsia="ar-SA"/>
        </w:rPr>
      </w:pPr>
      <w:r w:rsidRPr="004C271F">
        <w:rPr>
          <w:rFonts w:eastAsia="SimSun"/>
          <w:szCs w:val="22"/>
          <w:lang w:eastAsia="ar-SA"/>
        </w:rPr>
        <w:t xml:space="preserve">O dotację celową może ubiegać się Wnioskodawca, któremu przysługuje prawo dysponowania nieruchomością wynikające z prawa własności bądź stosunku cywilno-prawnego.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 dotację nie może ubiegać się podmiot, który równolegle ze złożeniem wniosku o udzielenie dotacji objętej niniejszym Regulaminem, ubiega się lub otrzymał jakiekolwiek środki z innych źródeł bezzwrotnych na sfinansowanie inwestycji objętej dofinansowaniem na podstawie niniejszego Regulaminu.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Dotacja do instalacji wewnętrznej, o której mowa w § 2 ust. 2 lit. c) Regulaminu może zostać przyznana wyłącznie jako uzupełnienie dotacji na nowe urządzenie grzewcze wskazane w ust. 2 lit a) i b) oraz w sytuacji, gdy audytor energetyczny wykaże, iż niezbędna jest wymiana obecnie funkcjonującej instalacji.</w:t>
      </w:r>
    </w:p>
    <w:p w:rsidR="00860E02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Dotacja udzielana jest na dofinansowanie kosztów kwalifikowanych inwestycji, o których mowa w </w:t>
      </w:r>
      <w:bookmarkStart w:id="7" w:name="_Hlk493144304"/>
      <w:r w:rsidRPr="004C271F">
        <w:rPr>
          <w:rFonts w:eastAsia="SimSun"/>
          <w:lang w:eastAsia="ar-SA"/>
        </w:rPr>
        <w:t>§ 2</w:t>
      </w:r>
      <w:bookmarkEnd w:id="7"/>
      <w:r w:rsidRPr="004C271F">
        <w:rPr>
          <w:rFonts w:eastAsia="SimSun"/>
          <w:lang w:eastAsia="ar-SA"/>
        </w:rPr>
        <w:t xml:space="preserve"> ust.2 Regulaminu.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D43B38" w:rsidRPr="00CC2440" w:rsidRDefault="00860E02" w:rsidP="00CC2440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inwestycji, o której mowa w § 2 ust. 2 Regulaminu, do kosztów kwalifikowanych zalicza się: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demontaż starego źródła ciepła wraz z instalacją (jeśli dotyczy);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zakup i montaż nowego źródła ciepła;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wykonanie instalacji wewnętrznej w budynku niezbędnej do prawidłowego funkcjonowania nowego systemu ogrzewania.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lang w:eastAsia="ar-SA"/>
        </w:rPr>
        <w:t xml:space="preserve">Warunkiem uzyskania dofinansowania jest rzeczywiste ograniczenie emisji zanieczyszczeń do powietrza poprzez likwidację w budynku wszystkich tradycyjnych palenisk i zainstalowanie nowego źródła ciepła.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Dotacji udziela się na podstawie wniosków złożonych przez osoby zainteresowane likwidacją dotychczasowego źródła ciepła.</w:t>
      </w:r>
      <w:r w:rsidRPr="003B6AEF">
        <w:rPr>
          <w:noProof/>
        </w:rPr>
        <w:t xml:space="preserve">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61BF92" wp14:editId="40FEE994">
            <wp:simplePos x="0" y="0"/>
            <wp:positionH relativeFrom="margin">
              <wp:align>left</wp:align>
            </wp:positionH>
            <wp:positionV relativeFrom="topMargin">
              <wp:posOffset>633730</wp:posOffset>
            </wp:positionV>
            <wp:extent cx="5958205" cy="452120"/>
            <wp:effectExtent l="0" t="0" r="4445" b="508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Dotacji, o których mowa powyżej udziela się na wymianę starego źródła ciepła na paliwo stałe, będącego podstawowym źródłem ogrzewania w budynku, na nowe ekologiczne i niskoemisyjne źródło ciepła. Dotacja jest przyznawana w celu uzyskania wymaganego efektu ekologicznego.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Przed udzieleniem dotacji zostanie podpisana z wnioskodawcą umowa stanowiąca załącznik nr 2 do Regulaminu, określająca w szczególności wysokość, termin i sposób wypłaty udzielonej dotacji oraz sposób kontroli dotowanej inwestycji.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Dotację otrzyma Wnioskodawca, który poddał się ocenie energetycznej budynku wykonanej przed realizacją projektu wg. metodyki przyjętej przez Instytucję Zarządzającą – przyjęty zostaje minimalny standard efektywności energetycznej budynku, spełnienie, którego oznacza brak konieczności przeprowadzenia modernizacji energetycznej budynku:</w:t>
      </w:r>
    </w:p>
    <w:p w:rsidR="00860E02" w:rsidRPr="004C271F" w:rsidRDefault="00860E02" w:rsidP="00860E02">
      <w:pPr>
        <w:numPr>
          <w:ilvl w:val="0"/>
          <w:numId w:val="6"/>
        </w:numPr>
        <w:suppressAutoHyphens/>
        <w:spacing w:after="160" w:line="259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71F">
        <w:rPr>
          <w:rFonts w:eastAsia="Calibri"/>
          <w:lang w:eastAsia="en-US"/>
        </w:rPr>
        <w:t>wartość wskaźnika</w:t>
      </w:r>
      <w:r w:rsidRPr="004C271F">
        <w:rPr>
          <w:rFonts w:eastAsia="Calibri"/>
          <w:sz w:val="22"/>
          <w:szCs w:val="22"/>
          <w:lang w:eastAsia="en-US"/>
        </w:rPr>
        <w:t xml:space="preserve"> EP</w:t>
      </w:r>
      <w:r w:rsidRPr="004C271F">
        <w:rPr>
          <w:rFonts w:eastAsia="Calibri"/>
          <w:sz w:val="22"/>
          <w:szCs w:val="22"/>
          <w:vertAlign w:val="subscript"/>
          <w:lang w:eastAsia="en-US"/>
        </w:rPr>
        <w:t>H+W</w:t>
      </w:r>
      <w:r w:rsidRPr="004C271F">
        <w:rPr>
          <w:rFonts w:eastAsia="Calibri"/>
          <w:sz w:val="22"/>
          <w:szCs w:val="22"/>
          <w:lang w:eastAsia="en-US"/>
        </w:rPr>
        <w:t xml:space="preserve"> nie większa niż 150 kWh/(m</w:t>
      </w:r>
      <w:r w:rsidRPr="004C271F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4C271F">
        <w:rPr>
          <w:rFonts w:eastAsia="Calibri"/>
          <w:sz w:val="22"/>
          <w:szCs w:val="22"/>
          <w:lang w:eastAsia="en-US"/>
        </w:rPr>
        <w:t>xrok) dla domów jednorodzinnych,</w:t>
      </w:r>
    </w:p>
    <w:p w:rsidR="00860E02" w:rsidRPr="004C271F" w:rsidRDefault="00860E02" w:rsidP="00860E02">
      <w:pPr>
        <w:numPr>
          <w:ilvl w:val="0"/>
          <w:numId w:val="6"/>
        </w:numPr>
        <w:suppressAutoHyphens/>
        <w:spacing w:after="160" w:line="259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71F">
        <w:rPr>
          <w:rFonts w:eastAsia="Calibri"/>
          <w:sz w:val="22"/>
          <w:szCs w:val="22"/>
          <w:lang w:eastAsia="en-US"/>
        </w:rPr>
        <w:t>wartość wskaźnika EP</w:t>
      </w:r>
      <w:r w:rsidRPr="004C271F">
        <w:rPr>
          <w:rFonts w:eastAsia="Calibri"/>
          <w:sz w:val="22"/>
          <w:szCs w:val="22"/>
          <w:vertAlign w:val="subscript"/>
          <w:lang w:eastAsia="en-US"/>
        </w:rPr>
        <w:t>H+W</w:t>
      </w:r>
      <w:r w:rsidRPr="004C271F">
        <w:rPr>
          <w:rFonts w:eastAsia="Calibri"/>
          <w:sz w:val="22"/>
          <w:szCs w:val="22"/>
          <w:lang w:eastAsia="en-US"/>
        </w:rPr>
        <w:t xml:space="preserve"> nie większa niż 135 kWh/(m</w:t>
      </w:r>
      <w:r w:rsidRPr="004C271F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4C271F">
        <w:rPr>
          <w:rFonts w:eastAsia="Calibri"/>
          <w:sz w:val="22"/>
          <w:szCs w:val="22"/>
          <w:lang w:eastAsia="en-US"/>
        </w:rPr>
        <w:t>xrok) dla domów wielorodzinnych.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W przypadku niespełnienia minimalnych standardów efektywności wnioskodawca może uzyskać dotację dopiero po przeprowadzeniu modernizacji energetycznej budynku w zakresie wynikającym z oceny energetycznej budynku.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Potwierdzeniem wykonanej modernizacji energetycznej budynku będzie dostarczenie przez właściciela budynku, którego dotyczy inwestycja, do Urzędu Gminy w Kamionce Wielkiej pisemnego oświadczenia o wykonanej modernizacji energetycznej budynku, kopie faktur/rachunków za zakupione materiały oraz dokumentacji fotograficznej z wykonanych prac termomodernizacyjnych zgodnych z zakresem wynikającym z oceny energetycznej budynku.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Gmina Kamionka Wielka zastrzega sobie prawo do przeprowadzenia kontroli poprawności wykonanych prac termomodernizacyjnych i ich zgodności z zaleceniami audytora energetycznego (jeżeli takie zostały wskazane).  </w:t>
      </w:r>
    </w:p>
    <w:p w:rsidR="00860E02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Wysokość dotacji jest równa sumie kosztów kwalifikowanych, z tym, że nie może przekroczyć następujących wartości: </w:t>
      </w:r>
    </w:p>
    <w:p w:rsidR="00CC2440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9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dotyczącym nowych urządzeń grzewczych: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bookmarkStart w:id="8" w:name="_Hlk493672754"/>
      <w:r w:rsidRPr="004C271F">
        <w:rPr>
          <w:rFonts w:eastAsia="SimSun"/>
          <w:lang w:eastAsia="ar-SA"/>
        </w:rPr>
        <w:t>550 zł/kW</w:t>
      </w:r>
      <w:r w:rsidRPr="004C271F">
        <w:rPr>
          <w:rFonts w:eastAsia="SimSun"/>
          <w:b/>
          <w:lang w:eastAsia="ar-SA"/>
        </w:rPr>
        <w:t xml:space="preserve"> </w:t>
      </w:r>
      <w:r w:rsidRPr="004C271F">
        <w:rPr>
          <w:rFonts w:eastAsia="SimSun"/>
          <w:lang w:eastAsia="ar-SA"/>
        </w:rPr>
        <w:t>mocy nowego źródła ciepła, do 10 kW mocy (łącznie) wyznaczonej w wyniku przeprowadzenia oceny energetycznej budynku,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500 zł/kW mocy nowego źródła ciepła dla zapotrzebowania powyżej 10kW do 15kW mocy (łącznie) wyznaczonej w wyniku przeprowadzenia oceny energetycznej budynku;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450 zł/kW mocy nowego źródła ciepła, powyżej 15kW do 20kW mocy (łącznie) wyznaczonej w wyniku przeprowadzenia oceny energetycznej budynku;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400 zł/kW mocy nowego źródła ciepła, powyżej 20kW mocy wyznaczonej w wyniku przeprowadzenia oceny energetycznej budynku,</w:t>
      </w:r>
    </w:p>
    <w:p w:rsidR="00860E02" w:rsidRPr="004C271F" w:rsidRDefault="00860E02" w:rsidP="00860E02">
      <w:pPr>
        <w:suppressAutoHyphens/>
        <w:spacing w:line="100" w:lineRule="atLeast"/>
        <w:ind w:left="720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i nie więcej niż: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8 000 zł w przypadku budynku jednorodzinnego, 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10 000 zł w przypadku budynku wielorodzinnego, dla którego jest wprowadzane wspólne źródło ciepła dla więcej niż jednego lokalu; </w:t>
      </w:r>
    </w:p>
    <w:bookmarkEnd w:id="8"/>
    <w:p w:rsidR="00860E02" w:rsidRPr="004C271F" w:rsidRDefault="00860E02" w:rsidP="00860E02">
      <w:pPr>
        <w:numPr>
          <w:ilvl w:val="0"/>
          <w:numId w:val="9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dotyczącym instalacji wewnętrznej, jeżeli będzie ona niezbędna do prawidłowego funkcjonowania nowego źródła ciepła: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6 000 zł w przypadku budynku jednorodzinnego,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53ACAF" wp14:editId="3B14763D">
            <wp:simplePos x="0" y="0"/>
            <wp:positionH relativeFrom="margin">
              <wp:align>left</wp:align>
            </wp:positionH>
            <wp:positionV relativeFrom="topMargin">
              <wp:posOffset>295275</wp:posOffset>
            </wp:positionV>
            <wp:extent cx="5958205" cy="452120"/>
            <wp:effectExtent l="0" t="0" r="4445" b="508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wielokrotność kwoty 6 000 zł, zgodna z liczbą odrębnych lokali mieszkalnych w budynku wielorodzinnym i nie więcej niż 80zł/m</w:t>
      </w:r>
      <w:r w:rsidRPr="004C271F">
        <w:rPr>
          <w:rFonts w:eastAsia="SimSun"/>
          <w:vertAlign w:val="superscript"/>
          <w:lang w:eastAsia="ar-SA"/>
        </w:rPr>
        <w:t>2</w:t>
      </w:r>
      <w:r w:rsidRPr="004C271F">
        <w:rPr>
          <w:rFonts w:eastAsia="SimSun"/>
          <w:lang w:eastAsia="ar-SA"/>
        </w:rPr>
        <w:t xml:space="preserve"> ogrzewanej powierzchni.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Poziom przyznanego dofinansowania wskazany w §2 ust 17 Regulaminu nie może przekroczyć 100% kosztów kwalifikowanych poniesionych przez Beneficjenta.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Kosztem kwalifikowanym zadania jest koszt wyrażony w kwotach brutto.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lang w:eastAsia="ar-SA"/>
        </w:rPr>
        <w:t>Dotacja może być udzielona tylko raz na dany punkt adresowy, bez względu na ilość dokonanych zmian sposobu ogrzewania oraz zmianę właściciela.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Regulamin nie przewiduje dofinansowania do wymiany źródła ciepła w budynkach w trakcie budowy (tj. nie oddanych do użytkowania)</w:t>
      </w:r>
    </w:p>
    <w:p w:rsidR="00860E02" w:rsidRPr="004C271F" w:rsidRDefault="00860E02" w:rsidP="00860E02">
      <w:pPr>
        <w:suppressAutoHyphens/>
        <w:spacing w:line="100" w:lineRule="atLeast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Tryb postępowania w sprawie udzielenia dotacji celowej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bookmarkStart w:id="9" w:name="_Hlk493512346"/>
      <w:r w:rsidRPr="004C271F">
        <w:rPr>
          <w:b/>
          <w:lang w:eastAsia="ar-SA"/>
        </w:rPr>
        <w:t>§ 3</w:t>
      </w:r>
    </w:p>
    <w:bookmarkEnd w:id="9"/>
    <w:p w:rsidR="00860E02" w:rsidRPr="004C271F" w:rsidRDefault="00860E02" w:rsidP="00860E02">
      <w:pPr>
        <w:suppressAutoHyphens/>
        <w:spacing w:line="100" w:lineRule="atLeast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Gmina Kamionka Wielka zamieści ogłoszenie o terminach rozpoczęcia i zakończenia naboru wniosków o udzielenie dotacji na stronie internetowej www.kamionkawielka.pl </w:t>
      </w:r>
      <w:bookmarkStart w:id="10" w:name="_Hlk494877077"/>
      <w:r w:rsidRPr="004C271F">
        <w:rPr>
          <w:rFonts w:eastAsia="SimSun"/>
          <w:lang w:eastAsia="ar-SA"/>
        </w:rPr>
        <w:t>oraz w sposób zwyczajowo przyjęty.</w:t>
      </w:r>
      <w:r w:rsidRPr="004C271F">
        <w:rPr>
          <w:rFonts w:eastAsia="SimSun"/>
          <w:sz w:val="22"/>
          <w:szCs w:val="22"/>
          <w:lang w:eastAsia="ar-SA"/>
        </w:rPr>
        <w:t xml:space="preserve"> </w:t>
      </w:r>
    </w:p>
    <w:bookmarkEnd w:id="10"/>
    <w:p w:rsidR="00860E02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Warunkiem ubiegania się o udzielenie dotacji jest złożenie w Urzędzie Gminy w Kamionce Wielkiej następujących dokumentów: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kompletnego wniosku o udzielenie dotacji, którego wzór stanowi załącznik nr 1 do Regulaminu</w:t>
      </w: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dokument potwierdzający tytuł prawny do dysponowania budynkiem lub lokalem. W przypadku, gdy wnioskodawca nie jest jedynym właścicielem budynku, zobowiązany jest do przedłożenia pisemnej zgody wszystkich współwłaścicieli wraz ze zgodą wypłaty całości dotacji na rzecz </w:t>
      </w:r>
      <w:r w:rsidRPr="004C271F">
        <w:rPr>
          <w:rFonts w:eastAsia="SimSun"/>
          <w:i/>
          <w:iCs/>
          <w:lang w:eastAsia="ar-SA"/>
        </w:rPr>
        <w:t>Wnioskodawcy.</w:t>
      </w:r>
      <w:r w:rsidRPr="004C271F">
        <w:rPr>
          <w:rFonts w:eastAsia="SimSun"/>
          <w:lang w:eastAsia="ar-SA"/>
        </w:rPr>
        <w:t xml:space="preserve"> W przypadku, gdy Wnioskodawca nie jest właścicielem nieruchomości/ lokalu, a z treści dokumentu potwierdzającego jego prawo do dysponowania nieruchomością/ lokalem (np. umowa najmu) nie wynika możliwość przeprowadzenia przez niego prac będących przedmiotem projektu (np. wymiany źródła ogrzewania lub instalacji wewnętrznej) wymagana jest zgoda właściciela nieruchomości/lokalu i/lub współwłaścicieli (w odniesieniu do współwłasności) na wykonanie ww. prac (w imieniu właściciela/ współwłaścicieli budynku może działać administrator/zarządca, jeżeli wynika to z zakresu jego umocowania)</w:t>
      </w: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potwierdzenie wykonania prac termomodernizacyjnych wskazanych w ocenie energetycznej (jeżeli takie zostały wskazane) w tym m. in. kopie faktur/rachunków za zakup materiałów użytych do termomodernizacji, oświadczenie wnioskodawcy, że prace zostały wykonane zgodnie z zaleceniami audytora energetycznego, dokumentacja fotograficzna potwierdzająca wykonanie prac wskazanych w ocenie energetycznej (jeżeli dotyczy).</w:t>
      </w:r>
    </w:p>
    <w:p w:rsidR="00860E02" w:rsidRPr="004C271F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Wnioski o udzielenie dotacji będą rozpatrywane według kolejności ich wpływu, do wysokości środków zaplanowanych na ten cel na dany rok w budżecie gminy.</w:t>
      </w:r>
    </w:p>
    <w:p w:rsidR="00860E02" w:rsidRPr="004C271F" w:rsidRDefault="00860E02" w:rsidP="00860E02">
      <w:pPr>
        <w:suppressAutoHyphens/>
        <w:spacing w:line="100" w:lineRule="atLeast"/>
        <w:ind w:left="720"/>
        <w:jc w:val="center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§ 4</w:t>
      </w:r>
    </w:p>
    <w:p w:rsidR="00860E02" w:rsidRPr="004C271F" w:rsidRDefault="00860E02" w:rsidP="00860E02">
      <w:pPr>
        <w:suppressAutoHyphens/>
        <w:spacing w:line="100" w:lineRule="atLeast"/>
        <w:ind w:left="720"/>
        <w:jc w:val="center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lang w:eastAsia="ar-SA"/>
        </w:rPr>
        <w:t>Jeżeli wniosek jest niekompletny, wnioskodawcę wzywa się na piśmie do uzupełnienia braków w terminie 14 dni od doręczenia wezwania, a po bezskutecznym upływie tego terminu wniosek pozostawia się bez rozpatrzenia.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252" w:lineRule="auto"/>
        <w:ind w:left="357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B08D2A3" wp14:editId="3C856DD7">
            <wp:simplePos x="0" y="0"/>
            <wp:positionH relativeFrom="margin">
              <wp:align>right</wp:align>
            </wp:positionH>
            <wp:positionV relativeFrom="topMargin">
              <wp:posOffset>259715</wp:posOffset>
            </wp:positionV>
            <wp:extent cx="5958205" cy="452120"/>
            <wp:effectExtent l="0" t="0" r="4445" b="508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O pozytywnym rozpatrzeniu wniosku o udzielenie dotacji Wnioskodawca zostanie poinformowany telefonicznie, a w razie niemożności zawiadomienia w tej formie: na piśmie, wzywając jednocześnie do zawarcia z Gminą Kamionka Wielka umowy o udzielenie dotacji. O przypadku negatywnego rozpatrzenia wniosku o udzielenie dotacji Wnioskodawca zostanie poinformowany na piśmie.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Rozstrzygnięcie o przyznaniu lub odmowie przyznania dotacji nie jest decyzją administracyjną w rozumieniu ustawy z dnia 14 czerwca 1960 r. - Kodeks postępowania administracyjnego (</w:t>
      </w:r>
      <w:proofErr w:type="spellStart"/>
      <w:r w:rsidRPr="004C271F">
        <w:rPr>
          <w:rFonts w:eastAsia="SimSun"/>
          <w:lang w:eastAsia="ar-SA"/>
        </w:rPr>
        <w:t>t.j</w:t>
      </w:r>
      <w:proofErr w:type="spellEnd"/>
      <w:r w:rsidRPr="004C271F">
        <w:rPr>
          <w:rFonts w:eastAsia="SimSun"/>
          <w:lang w:eastAsia="ar-SA"/>
        </w:rPr>
        <w:t xml:space="preserve">. Dz. U. z 2017 r., poz. 1257) i nie przysługuje na nie odwołanie. 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lang w:eastAsia="ar-SA"/>
        </w:rPr>
        <w:t>Gmina Kamionka Wielka podpisze umowy o przyznanie dotacji z kwalifikującymi się wnioskodawcami, którzy zgodzą się na spełnienie warunków ujętych w opiniach energetycznych oraz zaakceptują proponowaną moc nowego kotła.</w:t>
      </w:r>
    </w:p>
    <w:p w:rsidR="00860E02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Jeżeli wnioskodawca nie podpisze umowy o udzielenie dotacji, w terminie 14 dni od otrzymania powiadomienia o pozytywnym rozpatrzeniu wniosku, uważa się, że zrezygnował z ubiegania się o dotację.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8CE6E09" wp14:editId="725FFE8C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Beneficjent dokonuje we własnym zakresie i na własną odpowiedzialność zakupu nowego źródła ciepła.</w:t>
      </w:r>
    </w:p>
    <w:p w:rsidR="00860E02" w:rsidRDefault="00860E02" w:rsidP="00860E02">
      <w:pPr>
        <w:suppressAutoHyphens/>
        <w:spacing w:line="100" w:lineRule="atLeast"/>
        <w:ind w:left="720"/>
        <w:jc w:val="both"/>
        <w:rPr>
          <w:lang w:eastAsia="ar-SA"/>
        </w:rPr>
      </w:pPr>
    </w:p>
    <w:p w:rsidR="00D43B38" w:rsidRPr="004C271F" w:rsidRDefault="00D43B38" w:rsidP="00CC2440">
      <w:pPr>
        <w:suppressAutoHyphens/>
        <w:spacing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Sposób rozliczenia inwestycji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bCs/>
          <w:lang w:eastAsia="ar-SA"/>
        </w:rPr>
      </w:pPr>
      <w:bookmarkStart w:id="11" w:name="_Hlk493591334"/>
      <w:r w:rsidRPr="004C271F">
        <w:rPr>
          <w:b/>
          <w:lang w:eastAsia="ar-SA"/>
        </w:rPr>
        <w:t>§ 5</w:t>
      </w:r>
    </w:p>
    <w:bookmarkEnd w:id="11"/>
    <w:p w:rsidR="00860E02" w:rsidRPr="004C271F" w:rsidRDefault="00860E02" w:rsidP="00860E02">
      <w:pPr>
        <w:suppressAutoHyphens/>
        <w:spacing w:line="100" w:lineRule="atLeast"/>
        <w:rPr>
          <w:rFonts w:eastAsia="SimSun"/>
          <w:b/>
          <w:bCs/>
          <w:lang w:eastAsia="ar-SA"/>
        </w:rPr>
      </w:pP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celu rozliczenia dotacji Beneficjent, z którym została zawarta umowa o udzielenie dotacji, jest zobowiązany w terminie określonym w tejże umowie do złożenia na dzienniku podawczym Urzędu Gminy w Kamionce Wielkiej, kompletu dokumentów, tj.: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wniosku o rozliczenie dotacji stanowiącego załącznik nr 3 do Regulaminu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oryginał faktury VAT lub rachunku za wymianę źródła ciepła, które wskazują Beneficjenta jako nabywcę i potwierdzają zakres realizacji inwestycji,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protokół końcowego odbioru robót podpisany przez inwestora i osobę dokonującą montażu,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oświadczenie Beneficjenta o trwałej likwidacji starego kotła.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dokumentację techniczną określającą parametry nowego źródła ciepła oraz          spełnienie wymagań </w:t>
      </w:r>
      <w:proofErr w:type="spellStart"/>
      <w:r w:rsidRPr="004C271F">
        <w:rPr>
          <w:rFonts w:eastAsia="SimSun"/>
          <w:lang w:eastAsia="ar-SA"/>
        </w:rPr>
        <w:t>Ekoprojektu</w:t>
      </w:r>
      <w:proofErr w:type="spellEnd"/>
      <w:r w:rsidRPr="004C271F">
        <w:rPr>
          <w:rFonts w:eastAsia="SimSun"/>
          <w:lang w:eastAsia="ar-SA"/>
        </w:rPr>
        <w:t>.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dokumentację fotograficzną realizacji zadania (minimum 2 szt.)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Rozliczenie inwestyc</w:t>
      </w:r>
      <w:r w:rsidR="00EC4C45">
        <w:rPr>
          <w:rFonts w:eastAsia="SimSun"/>
          <w:lang w:eastAsia="ar-SA"/>
        </w:rPr>
        <w:t>ji nastąpi w terminie do trzech</w:t>
      </w:r>
      <w:r w:rsidRPr="004C271F">
        <w:rPr>
          <w:rFonts w:eastAsia="SimSun"/>
          <w:lang w:eastAsia="ar-SA"/>
        </w:rPr>
        <w:t xml:space="preserve"> miesięcy od daty złożenia wniosku o rozliczenie dotacji, lecz nie później niż do dnia 31 grudnia roku, w którym przyznano dotację. Dla dotacji przyznanych w roku 2017 rozliczenie inwestycji nastąpi najpóźniej do 28 lutego 2018 r.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kontroluje dokumenty, o których mowa w ust. 1, potwierdza prawidłowość rozliczenia dotacji zgodnie z umową i wymogami regulaminu.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stwierdzenia braków formalnych we wniosku o rozliczenie dotacji Beneficjent zostanie wezwany do uzupełnienia wniosku w terminie wskazanym w tym wezwaniu. W takim przypadku rozpatrzenie wniosku o rozliczenie dotacji nastąpi po jego uzupełnieniu.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Wnioski nieuzupełnione lub uzupełnione po upływie terminu wskazanego w wezwaniu, o którym mowa w § 4 ust.4 Regulaminu traktowane będą jako rezygnacja z ubiegania się o dofinansowanie.</w:t>
      </w:r>
    </w:p>
    <w:p w:rsidR="00860E02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pozytywnej weryfikacji przedstawionych dokumentów, o których mowa w §4 ust.1, Gmina Kamionka Wielka przekaże wnioskodawcy refundację kosztów zgodnie z umową.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 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Sposób kontroli dotowanej inwestycji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8AC194" wp14:editId="1430F5B4">
            <wp:simplePos x="0" y="0"/>
            <wp:positionH relativeFrom="margin">
              <wp:align>right</wp:align>
            </wp:positionH>
            <wp:positionV relativeFrom="topMargin">
              <wp:posOffset>314325</wp:posOffset>
            </wp:positionV>
            <wp:extent cx="5958205" cy="452120"/>
            <wp:effectExtent l="0" t="0" r="4445" b="508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b/>
          <w:lang w:eastAsia="ar-SA"/>
        </w:rPr>
        <w:t>§ 6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zastrzega sobie prawo do przeprowadzenia kontroli:</w:t>
      </w:r>
    </w:p>
    <w:p w:rsidR="00860E02" w:rsidRPr="004C271F" w:rsidRDefault="00860E02" w:rsidP="00860E02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realizacji inwestycji, przed jej rozpoczęciem i na każdym etapie jej realizacji,</w:t>
      </w:r>
    </w:p>
    <w:p w:rsidR="00860E02" w:rsidRPr="004C271F" w:rsidRDefault="00860E02" w:rsidP="00860E02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sposobu eksploatacji zamontowanego źródła ciepła w okresie trwałości projektu;</w:t>
      </w:r>
    </w:p>
    <w:p w:rsidR="00D43B38" w:rsidRPr="00EC4C45" w:rsidRDefault="00860E02" w:rsidP="00EC4C45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parametrów paliwa (dotyczy kotłów na biomasę) w okresie trwałości projektu.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Wielka, powiadomi mieszkańców o dacie zakończenia realizacji projektu, za pośrednictwem strony internetowej www.kamionkawielka.pl oraz w sposób zwyczajowo przyjęty.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Z przeprowadzonej kontroli sporządza się protokół w dwóch jednobrzmiących egzemplarzach, po jednym dla każdej ze stron.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 Do protokołu służy prawo wniesienia wyjaśnień w terminie 14 dni od daty podpisania protokołu. Wyjaśnienia składa się do Wójta Gminy Kamionka Wielka.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Kontrola powinna być prowadzona w sposób umożliwiający potwierdzenie:</w:t>
      </w:r>
    </w:p>
    <w:p w:rsidR="00860E02" w:rsidRPr="004C271F" w:rsidRDefault="00860E02" w:rsidP="00860E02">
      <w:pPr>
        <w:numPr>
          <w:ilvl w:val="0"/>
          <w:numId w:val="14"/>
        </w:numPr>
        <w:suppressAutoHyphens/>
        <w:spacing w:after="160"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prawidłowości wykorzystania środków dotacji zgodnie z postanowieniami umowy (cel na jaki dotacja została przyznana) oraz zastosowania urządzeń posiadających wymagane certyfikaty </w:t>
      </w:r>
      <w:proofErr w:type="spellStart"/>
      <w:r w:rsidRPr="004C271F">
        <w:rPr>
          <w:rFonts w:eastAsia="SimSun"/>
          <w:lang w:eastAsia="ar-SA"/>
        </w:rPr>
        <w:t>energetyczno</w:t>
      </w:r>
      <w:proofErr w:type="spellEnd"/>
      <w:r w:rsidRPr="004C271F">
        <w:rPr>
          <w:rFonts w:eastAsia="SimSun"/>
          <w:lang w:eastAsia="ar-SA"/>
        </w:rPr>
        <w:t xml:space="preserve"> - emisyjne lub certyfikaty zgodności z normą,</w:t>
      </w:r>
    </w:p>
    <w:p w:rsidR="00860E02" w:rsidRPr="004C271F" w:rsidRDefault="00860E02" w:rsidP="00860E02">
      <w:pPr>
        <w:numPr>
          <w:ilvl w:val="0"/>
          <w:numId w:val="14"/>
        </w:numPr>
        <w:suppressAutoHyphens/>
        <w:spacing w:after="160"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prawidłowego wykonania robót zgodnie z obowiązującymi przepisami i normami,</w:t>
      </w:r>
    </w:p>
    <w:p w:rsidR="00860E02" w:rsidRPr="000E30DA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strike/>
          <w:lang w:eastAsia="ar-SA"/>
        </w:rPr>
      </w:pPr>
      <w:r w:rsidRPr="000E30DA">
        <w:rPr>
          <w:rFonts w:eastAsia="SimSun"/>
          <w:strike/>
          <w:lang w:eastAsia="ar-SA"/>
        </w:rPr>
        <w:t xml:space="preserve">W przypadku dotacji wykorzystanej niezgodnie z przeznaczeniem, pobranej nienależnie lub w nadmiernej wysokości Beneficjent zobowiązany jest do zwrotu uzyskanej Dotacji wraz z odsetkami, liczonymi jak dla zaległości podatkowych za okres od dnia otrzymania dotacji do dnia jej zwrotu. 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Szczegółowy tryb zwrotu dotacji, określa umowa o dofinansowanie inwestycji.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bookmarkStart w:id="12" w:name="_Hlk493672200"/>
      <w:r w:rsidRPr="004C271F">
        <w:rPr>
          <w:rFonts w:eastAsia="SimSun"/>
          <w:lang w:eastAsia="ar-SA"/>
        </w:rPr>
        <w:t>Wnioskodawca zobowiązany jest zapewnić trwałość efektu rzeczowego inwestycji przez okres trwałości projektu pod rygorem zwrotu udzielonej dotacji.</w:t>
      </w:r>
    </w:p>
    <w:p w:rsidR="00860E02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zbycia nieruchomości, na której znajduje się budynek lub lokal mieszkalny, w którym dokonano wymiany źródła ciepła w ramach niniejszej umowy w okresie trwałości projektu, wszelkie zobowiązania wynikające z zawartej umowy przechodzą na nabywcę nieruchomości. Wnioskodawca jest w takim wypadku zobowiązany do przedstawienia Gminie pisemnego zobowiązania nabywcy nieruchomości do utrzymania trwałości efektu rzeczowego inwestycji w okresie trwałości projektu.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bookmarkEnd w:id="12"/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Postanowienia końcowe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§ 7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Wszelkie zmiany Regulaminu następują w drodze stosownej uchwały Rady Gminy Kamionka Wielka.</w:t>
      </w: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282FB9" w:rsidRPr="003D1E49" w:rsidRDefault="00282FB9" w:rsidP="00282FB9">
      <w:pPr>
        <w:suppressAutoHyphens/>
        <w:spacing w:line="100" w:lineRule="atLeast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Kamionka Wielka, </w:t>
      </w:r>
      <w:r>
        <w:rPr>
          <w:rFonts w:eastAsia="SimSun"/>
          <w:lang w:eastAsia="ar-SA"/>
        </w:rPr>
        <w:t>17.10.2017 r</w:t>
      </w:r>
      <w:r w:rsidR="00185137">
        <w:rPr>
          <w:rFonts w:eastAsia="SimSun"/>
          <w:lang w:eastAsia="ar-SA"/>
        </w:rPr>
        <w:t>.</w:t>
      </w:r>
    </w:p>
    <w:p w:rsidR="0027265A" w:rsidRDefault="00860E02">
      <w:r>
        <w:rPr>
          <w:noProof/>
        </w:rPr>
        <w:drawing>
          <wp:anchor distT="0" distB="0" distL="114300" distR="114300" simplePos="0" relativeHeight="251659264" behindDoc="1" locked="0" layoutInCell="1" allowOverlap="1" wp14:anchorId="31697B40" wp14:editId="36AA0C3C">
            <wp:simplePos x="0" y="0"/>
            <wp:positionH relativeFrom="margin">
              <wp:posOffset>0</wp:posOffset>
            </wp:positionH>
            <wp:positionV relativeFrom="topMargin">
              <wp:posOffset>1184910</wp:posOffset>
            </wp:positionV>
            <wp:extent cx="5958205" cy="452120"/>
            <wp:effectExtent l="0" t="0" r="444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D00825"/>
    <w:multiLevelType w:val="hybridMultilevel"/>
    <w:tmpl w:val="682E17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ED02CE"/>
    <w:multiLevelType w:val="hybridMultilevel"/>
    <w:tmpl w:val="9BB4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55F"/>
    <w:multiLevelType w:val="hybridMultilevel"/>
    <w:tmpl w:val="9C329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664E"/>
    <w:multiLevelType w:val="hybridMultilevel"/>
    <w:tmpl w:val="F70C3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26311"/>
    <w:multiLevelType w:val="hybridMultilevel"/>
    <w:tmpl w:val="9C329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3A88"/>
    <w:multiLevelType w:val="hybridMultilevel"/>
    <w:tmpl w:val="561CC960"/>
    <w:lvl w:ilvl="0" w:tplc="EE96B4AE">
      <w:start w:val="1"/>
      <w:numFmt w:val="bullet"/>
      <w:lvlText w:val="-"/>
      <w:lvlJc w:val="left"/>
      <w:pPr>
        <w:ind w:left="216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E02033"/>
    <w:multiLevelType w:val="hybridMultilevel"/>
    <w:tmpl w:val="4A807FF8"/>
    <w:lvl w:ilvl="0" w:tplc="AC2A3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35897"/>
    <w:multiLevelType w:val="hybridMultilevel"/>
    <w:tmpl w:val="C3621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BE55AA"/>
    <w:multiLevelType w:val="hybridMultilevel"/>
    <w:tmpl w:val="1FB4A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1F6B89"/>
    <w:multiLevelType w:val="hybridMultilevel"/>
    <w:tmpl w:val="B7CED6F6"/>
    <w:lvl w:ilvl="0" w:tplc="20B65A1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5D"/>
    <w:rsid w:val="000E30DA"/>
    <w:rsid w:val="00185137"/>
    <w:rsid w:val="0027265A"/>
    <w:rsid w:val="00282FB9"/>
    <w:rsid w:val="002B0486"/>
    <w:rsid w:val="00860E02"/>
    <w:rsid w:val="008F3B26"/>
    <w:rsid w:val="00A3185D"/>
    <w:rsid w:val="00A425AC"/>
    <w:rsid w:val="00CC2440"/>
    <w:rsid w:val="00D43B38"/>
    <w:rsid w:val="00E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C309-C52A-4075-B3CD-8F2BEB9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860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etrze.malopolska.pl/kot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2696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2019-03-08T11:54:00Z</dcterms:created>
  <dcterms:modified xsi:type="dcterms:W3CDTF">2019-03-08T11:54:00Z</dcterms:modified>
</cp:coreProperties>
</file>