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F67B7" w:rsidRPr="00346933" w14:paraId="651215B3" w14:textId="77777777" w:rsidTr="00350E1B">
        <w:trPr>
          <w:jc w:val="center"/>
        </w:trPr>
        <w:tc>
          <w:tcPr>
            <w:tcW w:w="9918" w:type="dxa"/>
          </w:tcPr>
          <w:p w14:paraId="665A5992" w14:textId="77777777" w:rsidR="002F67B7" w:rsidRPr="00346933" w:rsidRDefault="002F67B7" w:rsidP="00350E1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332B3425" w14:textId="77777777" w:rsidR="002F67B7" w:rsidRPr="00346933" w:rsidRDefault="002F67B7" w:rsidP="00350E1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B7C3DD2" w14:textId="77777777" w:rsidR="002F67B7" w:rsidRPr="00346933" w:rsidRDefault="002F67B7" w:rsidP="00350E1B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346933">
              <w:rPr>
                <w:rFonts w:ascii="Arial" w:eastAsia="Times New Roman" w:hAnsi="Arial" w:cs="Arial"/>
                <w:sz w:val="22"/>
                <w:szCs w:val="22"/>
              </w:rPr>
              <w:t>późn</w:t>
            </w:r>
            <w:proofErr w:type="spellEnd"/>
            <w:r w:rsidRPr="00346933">
              <w:rPr>
                <w:rFonts w:ascii="Arial" w:eastAsia="Times New Roman" w:hAnsi="Arial" w:cs="Arial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085C549E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Administrator</w:t>
            </w:r>
          </w:p>
          <w:p w14:paraId="5926F522" w14:textId="77777777" w:rsidR="002F67B7" w:rsidRPr="00346933" w:rsidRDefault="002F67B7" w:rsidP="00350E1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Administratorem Pani/Pana danych osobowych jest Gminny Komisarz Spisowy, Wójt Gminy Kamionka Wielka, 33-334 Kamionka Wielka 5.</w:t>
            </w:r>
          </w:p>
          <w:p w14:paraId="4696FAFC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Inspektor ochrony danych</w:t>
            </w:r>
          </w:p>
          <w:p w14:paraId="29276306" w14:textId="77777777" w:rsidR="002F67B7" w:rsidRPr="00346933" w:rsidRDefault="002F67B7" w:rsidP="00350E1B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670EAFF9" w14:textId="77777777" w:rsidR="002F67B7" w:rsidRPr="00346933" w:rsidRDefault="002F67B7" w:rsidP="002F67B7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pocztą tradycyjną na adres: Urząd Gminy w Kamionce Wielkiej, 33-334 Kamionka Wielka 5.</w:t>
            </w:r>
          </w:p>
          <w:p w14:paraId="3981D8A5" w14:textId="77777777" w:rsidR="002F67B7" w:rsidRPr="00346933" w:rsidRDefault="002F67B7" w:rsidP="002F67B7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pocztą elektroniczną na adres e-mai</w:t>
            </w:r>
            <w:r w:rsidRPr="00346933">
              <w:rPr>
                <w:rFonts w:ascii="Arial" w:eastAsia="Times New Roman" w:hAnsi="Arial" w:cs="Arial"/>
                <w:sz w:val="22"/>
                <w:szCs w:val="22"/>
              </w:rPr>
              <w:t>l:</w:t>
            </w:r>
            <w:r w:rsidRPr="00346933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  <w:hyperlink r:id="rId5" w:history="1">
              <w:r w:rsidRPr="00346933">
                <w:rPr>
                  <w:rStyle w:val="Hipercze"/>
                  <w:rFonts w:eastAsia="Times New Roman"/>
                  <w:sz w:val="22"/>
                  <w:szCs w:val="22"/>
                </w:rPr>
                <w:t>iod@kamionkawielka.pl</w:t>
              </w:r>
            </w:hyperlink>
          </w:p>
          <w:p w14:paraId="45610F14" w14:textId="77777777" w:rsidR="002F67B7" w:rsidRPr="00346933" w:rsidRDefault="002F67B7" w:rsidP="00350E1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sz w:val="22"/>
                <w:szCs w:val="22"/>
                <w:lang w:val="x-none" w:eastAsia="x-none"/>
              </w:rPr>
            </w:pPr>
            <w:r w:rsidRPr="00346933">
              <w:rPr>
                <w:rFonts w:ascii="Arial" w:hAnsi="Arial" w:cs="Arial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378C43A3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1B0BA819" w14:textId="77777777" w:rsidR="002F67B7" w:rsidRPr="00346933" w:rsidRDefault="002F67B7" w:rsidP="00350E1B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293C7F6E" w14:textId="77777777" w:rsidR="002F67B7" w:rsidRPr="00346933" w:rsidRDefault="002F67B7" w:rsidP="00350E1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późn</w:t>
            </w:r>
            <w:proofErr w:type="spellEnd"/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0F16938" w14:textId="77777777" w:rsidR="002F67B7" w:rsidRPr="00346933" w:rsidRDefault="002F67B7" w:rsidP="00350E1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6" w:anchor="_ftn3" w:history="1"/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185E3D0C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Odbiorcy danych osobowych</w:t>
            </w:r>
          </w:p>
          <w:p w14:paraId="7258B592" w14:textId="77777777" w:rsidR="002F67B7" w:rsidRPr="00346933" w:rsidRDefault="002F67B7" w:rsidP="00350E1B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503A956E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sz w:val="22"/>
                <w:szCs w:val="22"/>
                <w:lang w:val="x-none" w:eastAsia="x-none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Okres</w:t>
            </w:r>
            <w:r w:rsidRPr="00346933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346933">
              <w:rPr>
                <w:rFonts w:ascii="Arial" w:hAnsi="Arial" w:cs="Arial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72836C4F" w14:textId="77777777" w:rsidR="002F67B7" w:rsidRPr="00346933" w:rsidRDefault="002F67B7" w:rsidP="00350E1B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36DEFA40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2333444A" w14:textId="77777777" w:rsidR="002F67B7" w:rsidRPr="00346933" w:rsidRDefault="002F67B7" w:rsidP="00350E1B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Przysługuje Pani/Panu prawo do:</w:t>
            </w:r>
          </w:p>
          <w:p w14:paraId="00CF98F6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372BD32F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sprostowania (poprawiania) danych osobowych,</w:t>
            </w:r>
          </w:p>
          <w:p w14:paraId="2751864C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ograniczenia przetwarzania danych osobowych,</w:t>
            </w:r>
          </w:p>
          <w:p w14:paraId="7D99D6D7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przenoszenia danych,</w:t>
            </w:r>
          </w:p>
          <w:p w14:paraId="11D3F004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sprzeciwu wobec przetwarzania danych osobowych,</w:t>
            </w:r>
          </w:p>
          <w:p w14:paraId="0AAB9150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72F264F4" w14:textId="77777777" w:rsidR="002F67B7" w:rsidRPr="00346933" w:rsidRDefault="002F67B7" w:rsidP="002F67B7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4693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wniesienia skargi do </w:t>
            </w:r>
            <w:r w:rsidRPr="00346933">
              <w:rPr>
                <w:rFonts w:ascii="Arial" w:eastAsia="Times New Roman" w:hAnsi="Arial" w:cs="Arial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346933">
              <w:rPr>
                <w:rFonts w:ascii="Arial" w:hAnsi="Arial" w:cs="Arial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346933">
              <w:rPr>
                <w:rFonts w:ascii="Arial" w:hAnsi="Arial" w:cs="Arial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5817DC00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sz w:val="22"/>
                <w:szCs w:val="22"/>
                <w:lang w:val="x-none" w:eastAsia="x-none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lastRenderedPageBreak/>
              <w:t>Dobrowolność</w:t>
            </w:r>
            <w:r w:rsidRPr="00346933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65FD37A" w14:textId="77777777" w:rsidR="002F67B7" w:rsidRPr="00346933" w:rsidRDefault="002F67B7" w:rsidP="00350E1B">
            <w:pPr>
              <w:ind w:left="315" w:right="1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46933">
              <w:rPr>
                <w:rFonts w:ascii="Arial" w:hAnsi="Arial" w:cs="Arial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4693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e-learning.</w:t>
            </w:r>
          </w:p>
          <w:p w14:paraId="4540C33D" w14:textId="77777777" w:rsidR="002F67B7" w:rsidRPr="00346933" w:rsidRDefault="002F67B7" w:rsidP="002F67B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</w:pPr>
            <w:r w:rsidRPr="00346933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Zautomatyzowane</w:t>
            </w:r>
            <w:r w:rsidRPr="00346933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608EE5C8" w14:textId="77777777" w:rsidR="002F67B7" w:rsidRPr="00346933" w:rsidRDefault="002F67B7" w:rsidP="00350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46933">
              <w:rPr>
                <w:rFonts w:ascii="Arial" w:hAnsi="Arial" w:cs="Arial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01D77163" w14:textId="77777777" w:rsidR="002F67B7" w:rsidRPr="00346933" w:rsidRDefault="002F67B7" w:rsidP="002F67B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57E701B2" w14:textId="77777777" w:rsidR="0023587C" w:rsidRDefault="0023587C"/>
    <w:sectPr w:rsidR="0023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7"/>
    <w:rsid w:val="0023587C"/>
    <w:rsid w:val="002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B564"/>
  <w15:chartTrackingRefBased/>
  <w15:docId w15:val="{E9D8BF47-4892-4398-A219-2BED5F67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67B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67B7"/>
  </w:style>
  <w:style w:type="character" w:styleId="Hipercze">
    <w:name w:val="Hyperlink"/>
    <w:basedOn w:val="Domylnaczcionkaakapitu"/>
    <w:uiPriority w:val="99"/>
    <w:rsid w:val="002F67B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F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@kamio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Maciaś</dc:creator>
  <cp:keywords/>
  <dc:description/>
  <cp:lastModifiedBy>Grzegorz Maciaś</cp:lastModifiedBy>
  <cp:revision>1</cp:revision>
  <dcterms:created xsi:type="dcterms:W3CDTF">2021-01-29T12:09:00Z</dcterms:created>
  <dcterms:modified xsi:type="dcterms:W3CDTF">2021-01-29T12:09:00Z</dcterms:modified>
</cp:coreProperties>
</file>